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A574AF1"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CA5F7A" w:rsidRPr="00EE2D5E">
        <w:rPr>
          <w:rFonts w:ascii="游ゴシック" w:eastAsia="游ゴシック" w:hAnsi="游ゴシック" w:hint="eastAsia"/>
          <w:b/>
          <w:color w:val="000000" w:themeColor="text1"/>
          <w:szCs w:val="21"/>
          <w:u w:val="single"/>
        </w:rPr>
        <w:t>６</w:t>
      </w:r>
      <w:r w:rsidR="007A1654" w:rsidRPr="00EE2D5E">
        <w:rPr>
          <w:rFonts w:ascii="游ゴシック" w:eastAsia="游ゴシック" w:hAnsi="游ゴシック" w:hint="eastAsia"/>
          <w:b/>
          <w:color w:val="000000" w:themeColor="text1"/>
          <w:szCs w:val="21"/>
          <w:u w:val="single"/>
        </w:rPr>
        <w:t>年度</w:t>
      </w:r>
      <w:r w:rsidR="00874C53">
        <w:rPr>
          <w:rFonts w:ascii="游ゴシック" w:eastAsia="游ゴシック" w:hAnsi="游ゴシック" w:hint="eastAsia"/>
          <w:b/>
          <w:color w:val="000000" w:themeColor="text1"/>
          <w:szCs w:val="21"/>
          <w:u w:val="single"/>
        </w:rPr>
        <w:t>２</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162093DF" w:rsidR="00117A20" w:rsidRPr="00EE2D5E" w:rsidRDefault="00CD290B"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noProof/>
                <w:color w:val="000000" w:themeColor="text1"/>
                <w:szCs w:val="21"/>
              </w:rPr>
              <mc:AlternateContent>
                <mc:Choice Requires="wps">
                  <w:drawing>
                    <wp:anchor distT="0" distB="0" distL="114300" distR="114300" simplePos="0" relativeHeight="251659264" behindDoc="0" locked="0" layoutInCell="1" allowOverlap="1" wp14:anchorId="7AD58675" wp14:editId="5C2305E4">
                      <wp:simplePos x="0" y="0"/>
                      <wp:positionH relativeFrom="column">
                        <wp:posOffset>1881505</wp:posOffset>
                      </wp:positionH>
                      <wp:positionV relativeFrom="paragraph">
                        <wp:posOffset>59690</wp:posOffset>
                      </wp:positionV>
                      <wp:extent cx="807720" cy="318770"/>
                      <wp:effectExtent l="0" t="0" r="11430" b="24130"/>
                      <wp:wrapNone/>
                      <wp:docPr id="310854404" name="テキスト ボックス 1"/>
                      <wp:cNvGraphicFramePr/>
                      <a:graphic xmlns:a="http://schemas.openxmlformats.org/drawingml/2006/main">
                        <a:graphicData uri="http://schemas.microsoft.com/office/word/2010/wordprocessingShape">
                          <wps:wsp>
                            <wps:cNvSpPr txBox="1"/>
                            <wps:spPr>
                              <a:xfrm>
                                <a:off x="0" y="0"/>
                                <a:ext cx="807720" cy="318770"/>
                              </a:xfrm>
                              <a:prstGeom prst="rect">
                                <a:avLst/>
                              </a:prstGeom>
                              <a:solidFill>
                                <a:schemeClr val="lt1"/>
                              </a:solidFill>
                              <a:ln w="6350">
                                <a:solidFill>
                                  <a:prstClr val="black"/>
                                </a:solidFill>
                              </a:ln>
                            </wps:spPr>
                            <wps:txbx>
                              <w:txbxContent>
                                <w:p w14:paraId="3BEFCE4F" w14:textId="27C5D7DC" w:rsidR="00CD290B" w:rsidRDefault="00CD290B">
                                  <w:r>
                                    <w:rPr>
                                      <w:rFonts w:hint="eastAsia"/>
                                    </w:rPr>
                                    <w:t>入力不要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8675" id="_x0000_t202" coordsize="21600,21600" o:spt="202" path="m,l,21600r21600,l21600,xe">
                      <v:stroke joinstyle="miter"/>
                      <v:path gradientshapeok="t" o:connecttype="rect"/>
                    </v:shapetype>
                    <v:shape id="テキスト ボックス 1" o:spid="_x0000_s1026" type="#_x0000_t202" style="position:absolute;left:0;text-align:left;margin-left:148.15pt;margin-top:4.7pt;width:63.6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" fillcolor="white [3201]" strokeweight=".5pt">
                      <v:textbox>
                        <w:txbxContent>
                          <w:p w14:paraId="3BEFCE4F" w14:textId="27C5D7DC" w:rsidR="00CD290B" w:rsidRDefault="00CD290B">
                            <w:r>
                              <w:rPr>
                                <w:rFonts w:hint="eastAsia"/>
                              </w:rPr>
                              <w:t>入力不要</w:t>
                            </w:r>
                          </w:p>
                        </w:txbxContent>
                      </v:textbox>
                    </v:shape>
                  </w:pict>
                </mc:Fallback>
              </mc:AlternateContent>
            </w:r>
            <w:r w:rsidR="00E30164"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22C478B6"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0C6517">
              <w:rPr>
                <w:rFonts w:ascii="游ゴシック" w:eastAsia="游ゴシック" w:hAnsi="游ゴシック" w:hint="eastAsia"/>
                <w:color w:val="000000" w:themeColor="text1"/>
                <w:szCs w:val="21"/>
              </w:rPr>
              <w:t>。</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1F256ECC" w:rsidR="00A54202" w:rsidRPr="00EE2D5E" w:rsidRDefault="00B64DC8" w:rsidP="00032173">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「別添（２）防災・減災等事業整備計画書」及び「別添（３）整備計画一覧表」について、補助財産に対して、既に抵当権設定がなされて</w:t>
            </w:r>
            <w:r w:rsidR="001F540B">
              <w:rPr>
                <w:rFonts w:ascii="游ゴシック" w:eastAsia="游ゴシック" w:hAnsi="游ゴシック" w:hint="eastAsia"/>
                <w:color w:val="000000" w:themeColor="text1"/>
                <w:szCs w:val="21"/>
              </w:rPr>
              <w:t>いない</w:t>
            </w:r>
            <w:r>
              <w:rPr>
                <w:rFonts w:ascii="游ゴシック" w:eastAsia="游ゴシック" w:hAnsi="游ゴシック" w:hint="eastAsia"/>
                <w:color w:val="000000" w:themeColor="text1"/>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6964572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w:t>
    </w:r>
    <w:r w:rsidRPr="00037224">
      <w:rPr>
        <w:rFonts w:ascii="游ゴシック" w:eastAsia="游ゴシック" w:hAnsi="游ゴシック" w:hint="eastAsia"/>
        <w:color w:val="000000" w:themeColor="text1"/>
      </w:rPr>
      <w:t xml:space="preserve">都道府県・指定都市・中核市名：　</w:t>
    </w:r>
    <w:r w:rsidR="000C6517">
      <w:rPr>
        <w:rFonts w:ascii="游ゴシック" w:eastAsia="游ゴシック" w:hAnsi="游ゴシック" w:hint="eastAsia"/>
        <w:color w:val="000000" w:themeColor="text1"/>
      </w:rPr>
      <w:t>兵庫県</w:t>
    </w:r>
    <w:r w:rsidRPr="00037224">
      <w:rPr>
        <w:rFonts w:ascii="游ゴシック" w:eastAsia="游ゴシック" w:hAnsi="游ゴシック" w:hint="eastAsia"/>
        <w:color w:val="000000" w:themeColor="text1"/>
      </w:rPr>
      <w:t xml:space="preserve">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A1F1A"/>
    <w:rsid w:val="000C6517"/>
    <w:rsid w:val="000D1C73"/>
    <w:rsid w:val="000D2A78"/>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21AD6"/>
    <w:rsid w:val="00874C53"/>
    <w:rsid w:val="00891B19"/>
    <w:rsid w:val="008A005A"/>
    <w:rsid w:val="008B3B38"/>
    <w:rsid w:val="008C1787"/>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433F3"/>
    <w:rsid w:val="00A54202"/>
    <w:rsid w:val="00A67B84"/>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D290B"/>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321A"/>
    <w:rsid w:val="00F64D03"/>
    <w:rsid w:val="00F765CA"/>
    <w:rsid w:val="00F93BF8"/>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西林　奈那子</cp:lastModifiedBy>
  <cp:revision>6</cp:revision>
  <cp:lastPrinted>2024-12-04T00:04:00Z</cp:lastPrinted>
  <dcterms:created xsi:type="dcterms:W3CDTF">2024-12-02T01:13:00Z</dcterms:created>
  <dcterms:modified xsi:type="dcterms:W3CDTF">2024-12-05T01:04:00Z</dcterms:modified>
</cp:coreProperties>
</file>